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4AD5" w:rsidRDefault="0057115D">
      <w:pPr>
        <w:pStyle w:val="Nzev"/>
        <w:rPr>
          <w:sz w:val="28"/>
          <w:szCs w:val="28"/>
        </w:rPr>
      </w:pPr>
      <w:r>
        <w:rPr>
          <w:sz w:val="28"/>
          <w:szCs w:val="28"/>
        </w:rPr>
        <w:t>Zadání 06: Měnič pro deset modrých LED</w:t>
      </w:r>
    </w:p>
    <w:p w:rsidR="00334AD5" w:rsidRDefault="0057115D">
      <w:pPr>
        <w:pStyle w:val="Nadpis5"/>
      </w:pPr>
      <w:r>
        <w:t>Popis</w:t>
      </w:r>
    </w:p>
    <w:p w:rsidR="00334AD5" w:rsidRDefault="0057115D">
      <w:pPr>
        <w:pStyle w:val="Zkladntext"/>
      </w:pPr>
      <w:r>
        <w:rPr>
          <w:sz w:val="22"/>
          <w:szCs w:val="22"/>
        </w:rPr>
        <w:t>Základem zapojení je astabilní multivibrátor, známý také pod názvem astabilní klopný obvod. Tento obvod je navíc doplněn dvěma výkonnějšími tranzistory ve funkci zvyšujícího (step up) měniče. Cílem zapojení je intenzivní svit deseti bílých svítivých diod. Měnič pracuje přibližně na frekvenci 30kHz. Je napájen třemi AA články o celkovém napětí 4,5V. Předpokládaný výkon měniče je asi 0,75W. Možné praktické využití tohoto zapojení je jako regulovatelný intenzivní zdroj modrého světla.</w:t>
      </w:r>
    </w:p>
    <w:p w:rsidR="00334AD5" w:rsidRDefault="0057115D">
      <w:pPr>
        <w:pStyle w:val="Nadpis5"/>
      </w:pPr>
      <w:r>
        <w:t>Výchozí schéma</w:t>
      </w:r>
    </w:p>
    <w:p w:rsidR="00334AD5" w:rsidRDefault="0057115D">
      <w:pPr>
        <w:pStyle w:val="Zkladntext"/>
        <w:spacing w:before="120" w:after="60"/>
      </w:pPr>
      <w:r>
        <w:rPr>
          <w:noProof/>
          <w:lang w:eastAsia="cs-CZ"/>
        </w:rPr>
        <w:drawing>
          <wp:anchor distT="0" distB="0" distL="0" distR="0" simplePos="0" relativeHeight="2" behindDoc="0" locked="0" layoutInCell="0" allowOverlap="1">
            <wp:simplePos x="0" y="0"/>
            <wp:positionH relativeFrom="column">
              <wp:posOffset>605790</wp:posOffset>
            </wp:positionH>
            <wp:positionV relativeFrom="paragraph">
              <wp:posOffset>24130</wp:posOffset>
            </wp:positionV>
            <wp:extent cx="5283835" cy="2721610"/>
            <wp:effectExtent l="0" t="0" r="0" b="0"/>
            <wp:wrapSquare wrapText="largest"/>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7"/>
                    <a:stretch>
                      <a:fillRect/>
                    </a:stretch>
                  </pic:blipFill>
                  <pic:spPr bwMode="auto">
                    <a:xfrm>
                      <a:off x="0" y="0"/>
                      <a:ext cx="5283835" cy="2721610"/>
                    </a:xfrm>
                    <a:prstGeom prst="rect">
                      <a:avLst/>
                    </a:prstGeom>
                  </pic:spPr>
                </pic:pic>
              </a:graphicData>
            </a:graphic>
          </wp:anchor>
        </w:drawing>
      </w:r>
    </w:p>
    <w:p w:rsidR="00334AD5" w:rsidRDefault="0057115D">
      <w:pPr>
        <w:pStyle w:val="Nadpis5"/>
      </w:pPr>
      <w:r>
        <w:t>Možnosti vylepšení</w:t>
      </w:r>
    </w:p>
    <w:p w:rsidR="00334AD5" w:rsidRDefault="0057115D">
      <w:pPr>
        <w:pStyle w:val="Zkladntext"/>
        <w:rPr>
          <w:sz w:val="22"/>
          <w:szCs w:val="22"/>
        </w:rPr>
      </w:pPr>
      <w:r>
        <w:rPr>
          <w:sz w:val="22"/>
          <w:szCs w:val="22"/>
        </w:rPr>
        <w:t>Zapojení je sice přednastaveno na funkční výchozí hodnoty, je však možné, že nebudete plně spokojeni s jeho funkcí. Zapojení také může obsahovat chyby nebo nedostatky,</w:t>
      </w:r>
      <w:r>
        <w:rPr>
          <w:sz w:val="22"/>
          <w:szCs w:val="22"/>
          <w:lang w:val="en-US"/>
        </w:rPr>
        <w:t xml:space="preserve"> ale </w:t>
      </w:r>
      <w:r>
        <w:rPr>
          <w:sz w:val="22"/>
          <w:szCs w:val="22"/>
        </w:rPr>
        <w:t>není to pravidlem ani záměrem</w:t>
      </w:r>
      <w:r>
        <w:rPr>
          <w:sz w:val="22"/>
          <w:szCs w:val="22"/>
          <w:lang w:val="en-US"/>
        </w:rPr>
        <w:t>.</w:t>
      </w:r>
      <w:r>
        <w:rPr>
          <w:sz w:val="22"/>
          <w:szCs w:val="22"/>
        </w:rPr>
        <w:t xml:space="preserve"> Máte</w:t>
      </w:r>
      <w:r>
        <w:rPr>
          <w:sz w:val="22"/>
          <w:szCs w:val="22"/>
          <w:lang w:val="en-US"/>
        </w:rPr>
        <w:t xml:space="preserve"> </w:t>
      </w:r>
      <w:r>
        <w:rPr>
          <w:sz w:val="22"/>
          <w:szCs w:val="22"/>
        </w:rPr>
        <w:t>proto možnost a dokonce je to i žádoucí, nastavit hodnoty součástek tak, aby zapojení lépe splňovalo vaše představy o jeho funkci. Například můžete vyzkoušet různé realizace provedení toroidní cívky.</w:t>
      </w:r>
    </w:p>
    <w:p w:rsidR="00714AE0" w:rsidRPr="00714AE0" w:rsidRDefault="00714AE0">
      <w:pPr>
        <w:pStyle w:val="Zkladntext"/>
        <w:rPr>
          <w:sz w:val="22"/>
          <w:szCs w:val="22"/>
        </w:rPr>
      </w:pPr>
      <w:r>
        <w:rPr>
          <w:sz w:val="22"/>
          <w:szCs w:val="22"/>
        </w:rPr>
        <w:t>Nebo přidat režim blikaní.</w:t>
      </w:r>
      <w:bookmarkStart w:id="0" w:name="_GoBack"/>
      <w:bookmarkEnd w:id="0"/>
    </w:p>
    <w:sectPr w:rsidR="00714AE0" w:rsidRPr="00714AE0">
      <w:headerReference w:type="default" r:id="rId8"/>
      <w:pgSz w:w="11906" w:h="16838"/>
      <w:pgMar w:top="850" w:right="849" w:bottom="721" w:left="993" w:header="708"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211" w:rsidRDefault="0057115D">
      <w:r>
        <w:separator/>
      </w:r>
    </w:p>
  </w:endnote>
  <w:endnote w:type="continuationSeparator" w:id="0">
    <w:p w:rsidR="00F66211" w:rsidRDefault="005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roman"/>
    <w:pitch w:val="variable"/>
  </w:font>
  <w:font w:name="Calibri">
    <w:panose1 w:val="020F0502020204030204"/>
    <w:charset w:val="EE"/>
    <w:family w:val="swiss"/>
    <w:pitch w:val="variable"/>
    <w:sig w:usb0="E4002EFF" w:usb1="C000247B" w:usb2="00000009" w:usb3="00000000" w:csb0="000001FF" w:csb1="00000000"/>
  </w:font>
  <w:font w:name="OpenSymbol">
    <w:altName w:val="Arial Unicode MS"/>
    <w:panose1 w:val="05010000000000000000"/>
    <w:charset w:val="EE"/>
    <w:family w:val="roman"/>
    <w:pitch w:val="variable"/>
  </w:font>
  <w:font w:name="Liberation Serif">
    <w:altName w:val="Times New Roman"/>
    <w:panose1 w:val="02020603050405020304"/>
    <w:charset w:val="EE"/>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211" w:rsidRDefault="0057115D">
      <w:r>
        <w:separator/>
      </w:r>
    </w:p>
  </w:footnote>
  <w:footnote w:type="continuationSeparator" w:id="0">
    <w:p w:rsidR="00F66211" w:rsidRDefault="00571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AD5" w:rsidRDefault="0057115D">
    <w:pPr>
      <w:spacing w:after="120"/>
    </w:pPr>
    <w:r>
      <w:rPr>
        <w:rFonts w:ascii="Arial" w:hAnsi="Arial" w:cs="Arial"/>
      </w:rPr>
      <w:t>Zadání pro předmět: Technický Projekt, obor E</w:t>
    </w:r>
    <w:r>
      <w:rPr>
        <w:rFonts w:ascii="Arial" w:hAnsi="Arial" w:cs="Arial"/>
      </w:rPr>
      <w:tab/>
    </w:r>
    <w:r>
      <w:rPr>
        <w:rFonts w:ascii="Arial" w:hAnsi="Arial" w:cs="Arial"/>
      </w:rPr>
      <w:tab/>
    </w:r>
    <w:r>
      <w:rPr>
        <w:rFonts w:ascii="Arial" w:hAnsi="Arial" w:cs="Arial"/>
      </w:rPr>
      <w:tab/>
      <w:t>SPŠE Ječná 30, Praha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A1FDA"/>
    <w:multiLevelType w:val="multilevel"/>
    <w:tmpl w:val="365821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505F37"/>
    <w:multiLevelType w:val="multilevel"/>
    <w:tmpl w:val="0D9EB4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6C53F06"/>
    <w:multiLevelType w:val="multilevel"/>
    <w:tmpl w:val="FAD419A6"/>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D5"/>
    <w:rsid w:val="00334AD5"/>
    <w:rsid w:val="0057115D"/>
    <w:rsid w:val="00714AE0"/>
    <w:rsid w:val="00F6621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CF0CB-D8B8-4435-B90A-BBEA5EA6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ar-SA"/>
    </w:rPr>
  </w:style>
  <w:style w:type="paragraph" w:styleId="Nadpis1">
    <w:name w:val="heading 1"/>
    <w:basedOn w:val="Normln"/>
    <w:next w:val="Normln"/>
    <w:qFormat/>
    <w:pPr>
      <w:keepNext/>
      <w:numPr>
        <w:numId w:val="3"/>
      </w:numPr>
      <w:outlineLvl w:val="0"/>
    </w:pPr>
    <w:rPr>
      <w:u w:val="single"/>
    </w:rPr>
  </w:style>
  <w:style w:type="paragraph" w:styleId="Nadpis2">
    <w:name w:val="heading 2"/>
    <w:basedOn w:val="Normln"/>
    <w:next w:val="Normln"/>
    <w:qFormat/>
    <w:pPr>
      <w:keepNext/>
      <w:numPr>
        <w:ilvl w:val="1"/>
        <w:numId w:val="3"/>
      </w:numPr>
      <w:ind w:left="0" w:right="-1008" w:firstLine="0"/>
      <w:outlineLvl w:val="1"/>
    </w:pPr>
    <w:rPr>
      <w:u w:val="single"/>
    </w:rPr>
  </w:style>
  <w:style w:type="paragraph" w:styleId="Nadpis3">
    <w:name w:val="heading 3"/>
    <w:basedOn w:val="Normln"/>
    <w:next w:val="Normln"/>
    <w:qFormat/>
    <w:pPr>
      <w:keepNext/>
      <w:numPr>
        <w:ilvl w:val="2"/>
        <w:numId w:val="3"/>
      </w:numPr>
      <w:ind w:left="708" w:right="-110" w:firstLine="0"/>
      <w:outlineLvl w:val="2"/>
    </w:pPr>
    <w:rPr>
      <w:b/>
      <w:bCs/>
      <w:sz w:val="36"/>
      <w:u w:val="single"/>
    </w:rPr>
  </w:style>
  <w:style w:type="paragraph" w:styleId="Nadpis4">
    <w:name w:val="heading 4"/>
    <w:basedOn w:val="Normln"/>
    <w:next w:val="Normln"/>
    <w:qFormat/>
    <w:pPr>
      <w:keepNext/>
      <w:numPr>
        <w:ilvl w:val="3"/>
        <w:numId w:val="3"/>
      </w:numPr>
      <w:ind w:left="708" w:firstLine="0"/>
      <w:outlineLvl w:val="3"/>
    </w:pPr>
    <w:rPr>
      <w:b/>
      <w:bCs/>
      <w:sz w:val="36"/>
      <w:u w:val="single"/>
    </w:rPr>
  </w:style>
  <w:style w:type="paragraph" w:styleId="Nadpis5">
    <w:name w:val="heading 5"/>
    <w:basedOn w:val="Nadpis"/>
    <w:next w:val="Zkladntext"/>
    <w:qFormat/>
    <w:pPr>
      <w:numPr>
        <w:ilvl w:val="4"/>
        <w:numId w:val="2"/>
      </w:numPr>
      <w:spacing w:before="120" w:after="60"/>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Courier New" w:hAnsi="Courier New" w:cs="Courier New"/>
    </w:rPr>
  </w:style>
  <w:style w:type="character" w:customStyle="1" w:styleId="WW8Num3z0">
    <w:name w:val="WW8Num3z0"/>
    <w:qFormat/>
    <w:rPr>
      <w:rFonts w:ascii="Arial" w:hAnsi="Arial" w:cs="Arial"/>
      <w:b/>
      <w:i w:val="0"/>
      <w:sz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5z0">
    <w:name w:val="WW8Num25z0"/>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Standardnpsmoodstavce1">
    <w:name w:val="Standardní písmo odstavce1"/>
    <w:qFormat/>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BalloonTextChar">
    <w:name w:val="Balloon Text Char"/>
    <w:qFormat/>
    <w:rPr>
      <w:rFonts w:ascii="Tahoma" w:hAnsi="Tahoma" w:cs="Tahoma"/>
      <w:sz w:val="16"/>
      <w:szCs w:val="16"/>
    </w:rPr>
  </w:style>
  <w:style w:type="character" w:customStyle="1" w:styleId="PlainTextChar">
    <w:name w:val="Plain Text Char"/>
    <w:qFormat/>
    <w:rPr>
      <w:rFonts w:ascii="Consolas" w:eastAsia="Calibri" w:hAnsi="Consolas" w:cs="Consolas"/>
      <w:sz w:val="21"/>
      <w:szCs w:val="21"/>
    </w:rPr>
  </w:style>
  <w:style w:type="character" w:customStyle="1" w:styleId="BodyTextChar">
    <w:name w:val="Body Text Char"/>
    <w:qFormat/>
    <w:rPr>
      <w:sz w:val="24"/>
      <w:szCs w:val="24"/>
    </w:rPr>
  </w:style>
  <w:style w:type="character" w:customStyle="1" w:styleId="BodyTextFirstIndentChar">
    <w:name w:val="Body Text First Indent Char"/>
    <w:basedOn w:val="BodyTextChar"/>
    <w:qFormat/>
    <w:rPr>
      <w:sz w:val="24"/>
      <w:szCs w:val="24"/>
    </w:rPr>
  </w:style>
  <w:style w:type="character" w:customStyle="1" w:styleId="Internetovodkaz">
    <w:name w:val="Internetový odkaz"/>
    <w:rPr>
      <w:color w:val="0000FF"/>
      <w:u w:val="single"/>
    </w:rPr>
  </w:style>
  <w:style w:type="character" w:styleId="KdHTML">
    <w:name w:val="HTML Code"/>
    <w:qFormat/>
    <w:rPr>
      <w:rFonts w:ascii="Courier New" w:eastAsia="Times New Roman" w:hAnsi="Courier New" w:cs="Courier New"/>
      <w:sz w:val="20"/>
      <w:szCs w:val="20"/>
    </w:rPr>
  </w:style>
  <w:style w:type="character" w:styleId="Zstupntext">
    <w:name w:val="Placeholder Text"/>
    <w:basedOn w:val="Standardnpsmoodstavce"/>
    <w:uiPriority w:val="99"/>
    <w:semiHidden/>
    <w:qFormat/>
    <w:rsid w:val="00FF75B0"/>
    <w:rPr>
      <w:color w:val="808080"/>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Arial" w:eastAsia="Microsoft YaHei" w:hAnsi="Arial" w:cs="Arial"/>
      <w:sz w:val="28"/>
      <w:szCs w:val="28"/>
    </w:rPr>
  </w:style>
  <w:style w:type="paragraph" w:styleId="Zkladntext">
    <w:name w:val="Body Text"/>
    <w:basedOn w:val="Normln"/>
    <w:pPr>
      <w:ind w:right="-648"/>
    </w:pPr>
  </w:style>
  <w:style w:type="paragraph" w:styleId="Seznam">
    <w:name w:val="List"/>
    <w:basedOn w:val="Zkladntext"/>
    <w:rPr>
      <w:rFonts w:ascii="Calibri" w:hAnsi="Calibri" w:cs="Arial"/>
    </w:rPr>
  </w:style>
  <w:style w:type="paragraph" w:customStyle="1" w:styleId="Titulek1">
    <w:name w:val="Titulek1"/>
    <w:basedOn w:val="Normln"/>
    <w:qFormat/>
    <w:pPr>
      <w:suppressLineNumbers/>
      <w:spacing w:before="120" w:after="120"/>
    </w:pPr>
    <w:rPr>
      <w:rFonts w:ascii="Calibri" w:hAnsi="Calibri" w:cs="Arial"/>
      <w:i/>
      <w:iCs/>
    </w:rPr>
  </w:style>
  <w:style w:type="paragraph" w:customStyle="1" w:styleId="Rejstk">
    <w:name w:val="Rejstřík"/>
    <w:basedOn w:val="Normln"/>
    <w:qFormat/>
    <w:pPr>
      <w:suppressLineNumbers/>
    </w:pPr>
    <w:rPr>
      <w:rFonts w:ascii="Calibri" w:hAnsi="Calibri" w:cs="Arial"/>
    </w:rPr>
  </w:style>
  <w:style w:type="paragraph" w:styleId="Zkladntextodsazen">
    <w:name w:val="Body Text Indent"/>
    <w:basedOn w:val="Normln"/>
    <w:pPr>
      <w:ind w:left="2880" w:hanging="360"/>
    </w:pPr>
  </w:style>
  <w:style w:type="paragraph" w:customStyle="1" w:styleId="Zkladntextodsazen21">
    <w:name w:val="Základní text odsazený 21"/>
    <w:basedOn w:val="Normln"/>
    <w:qFormat/>
    <w:pPr>
      <w:ind w:left="360" w:hanging="360"/>
    </w:pPr>
  </w:style>
  <w:style w:type="paragraph" w:customStyle="1" w:styleId="Zhlavazpat">
    <w:name w:val="Záhlaví a zápatí"/>
    <w:basedOn w:val="Normln"/>
    <w:qFormat/>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qFormat/>
    <w:rPr>
      <w:rFonts w:ascii="Tahoma" w:hAnsi="Tahoma" w:cs="Tahoma"/>
      <w:sz w:val="16"/>
      <w:szCs w:val="16"/>
    </w:rPr>
  </w:style>
  <w:style w:type="paragraph" w:customStyle="1" w:styleId="Prosttext1">
    <w:name w:val="Prostý text1"/>
    <w:basedOn w:val="Normln"/>
    <w:qFormat/>
    <w:rPr>
      <w:rFonts w:ascii="Consolas" w:eastAsia="Calibri" w:hAnsi="Consolas" w:cs="Consolas"/>
      <w:sz w:val="21"/>
      <w:szCs w:val="21"/>
    </w:rPr>
  </w:style>
  <w:style w:type="paragraph" w:customStyle="1" w:styleId="Zkladntext-prvnodsazen1">
    <w:name w:val="Základní text - první odsazený1"/>
    <w:basedOn w:val="Zkladntext"/>
    <w:qFormat/>
    <w:pPr>
      <w:spacing w:after="120"/>
      <w:ind w:right="0" w:firstLine="210"/>
    </w:pPr>
  </w:style>
  <w:style w:type="paragraph" w:styleId="Odstavecseseznamem">
    <w:name w:val="List Paragraph"/>
    <w:basedOn w:val="Normln"/>
    <w:qFormat/>
    <w:pPr>
      <w:spacing w:after="200" w:line="276" w:lineRule="auto"/>
      <w:ind w:left="720"/>
    </w:pPr>
    <w:rPr>
      <w:rFonts w:ascii="Calibri" w:eastAsia="Calibri" w:hAnsi="Calibri" w:cs="Calibri"/>
      <w:sz w:val="22"/>
      <w:szCs w:val="22"/>
    </w:rPr>
  </w:style>
  <w:style w:type="paragraph" w:customStyle="1" w:styleId="Standard">
    <w:name w:val="Standard"/>
    <w:qFormat/>
    <w:pPr>
      <w:widowControl w:val="0"/>
      <w:textAlignment w:val="baseline"/>
    </w:pPr>
    <w:rPr>
      <w:rFonts w:ascii="Liberation Serif" w:eastAsia="Droid Sans Fallback" w:hAnsi="Liberation Serif" w:cs="FreeSans"/>
      <w:kern w:val="2"/>
      <w:sz w:val="24"/>
      <w:szCs w:val="24"/>
      <w:lang w:eastAsia="hi-IN" w:bidi="hi-IN"/>
    </w:rPr>
  </w:style>
  <w:style w:type="paragraph" w:customStyle="1" w:styleId="Vodorovnra">
    <w:name w:val="Vodorovná čára"/>
    <w:basedOn w:val="Normln"/>
    <w:next w:val="Zkladntext"/>
    <w:qFormat/>
    <w:pPr>
      <w:suppressLineNumbers/>
      <w:pBdr>
        <w:bottom w:val="double" w:sz="2" w:space="0" w:color="808080"/>
      </w:pBdr>
      <w:spacing w:after="283"/>
    </w:pPr>
    <w:rPr>
      <w:sz w:val="12"/>
      <w:szCs w:val="12"/>
    </w:rPr>
  </w:style>
  <w:style w:type="paragraph" w:styleId="Nzev">
    <w:name w:val="Title"/>
    <w:basedOn w:val="Nadpis"/>
    <w:next w:val="Zkladntext"/>
    <w:qFormat/>
    <w:pPr>
      <w:jc w:val="center"/>
    </w:pPr>
    <w:rPr>
      <w:b/>
      <w:bCs/>
      <w:sz w:val="56"/>
      <w:szCs w:val="56"/>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858</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lpstr>
    </vt:vector>
  </TitlesOfParts>
  <Company>SPŠE Ječná 30</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Student</dc:creator>
  <dc:description/>
  <cp:lastModifiedBy>Jan Novotný</cp:lastModifiedBy>
  <cp:revision>3</cp:revision>
  <cp:lastPrinted>2021-02-25T11:19:00Z</cp:lastPrinted>
  <dcterms:created xsi:type="dcterms:W3CDTF">2024-09-23T11:47:00Z</dcterms:created>
  <dcterms:modified xsi:type="dcterms:W3CDTF">2024-09-23T11:50:00Z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